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1"/>
        </w:numPr>
        <w:ind w:left="1800" w:hanging="1080"/>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1"/>
        </w:numPr>
        <w:ind w:left="2694" w:hanging="864"/>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1"/>
        </w:numPr>
        <w:ind w:left="2694" w:hanging="864"/>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1"/>
        </w:numPr>
        <w:ind w:left="1797" w:hanging="1077"/>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1"/>
        </w:numPr>
        <w:ind w:left="709" w:hanging="72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2"/>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2"/>
        </w:numPr>
        <w:ind w:left="1429" w:hanging="72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2"/>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2"/>
        </w:numPr>
        <w:ind w:left="1429" w:hanging="72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2"/>
        </w:numPr>
        <w:ind w:left="720" w:hanging="72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2"/>
        </w:numPr>
        <w:ind w:left="720" w:hanging="72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2"/>
        </w:numPr>
        <w:ind w:left="720" w:hanging="72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judgement, decree or permit to which the Guarantor is subject; or</w:t>
      </w:r>
    </w:p>
    <w:p w:rsidR="00000000" w:rsidDel="00000000" w:rsidP="00000000" w:rsidRDefault="00000000" w:rsidRPr="00000000" w14:paraId="0000008F">
      <w:pPr>
        <w:pStyle w:val="Heading3"/>
        <w:keepNext w:val="1"/>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5">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